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14" w:rsidRDefault="00EE50C8" w:rsidP="00257F14">
      <w:pPr>
        <w:tabs>
          <w:tab w:val="left" w:pos="5640"/>
        </w:tabs>
        <w:spacing w:after="0"/>
        <w:rPr>
          <w:rFonts w:ascii="Arial" w:hAnsi="Arial" w:cs="Arial"/>
          <w:b/>
          <w:bCs/>
          <w:shadow/>
          <w:color w:val="008000"/>
          <w:sz w:val="18"/>
          <w:szCs w:val="18"/>
        </w:rPr>
      </w:pPr>
      <w:r w:rsidRPr="00EE50C8">
        <w:pict>
          <v:group id="_x0000_s1034" style="position:absolute;margin-left:-29.25pt;margin-top:2.7pt;width:7in;height:95.9pt;z-index:251657728" coordorigin="357,338" coordsize="10080,191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5" type="#_x0000_t136" style="position:absolute;left:2517;top:1238;width:7920;height:720" fillcolor="#0c0" strokecolor="#f60">
              <v:shadow on="t" type="double" color="lime" color2="shadow add(102)" offset="-1pt,-2pt" offset2="-2pt,-4pt"/>
              <v:textpath style="font-family:&quot;Monotype Corsiva&quot;;font-weight:bold;v-text-spacing:78650f;v-text-kern:t" trim="t" fitpath="t" string="Mouvement Biologique Malien "/>
            </v:shape>
            <v:shape id="_x0000_s1036" type="#_x0000_t136" style="position:absolute;left:2337;top:518;width:3390;height:540" fillcolor="#71f05c" strokecolor="green" strokeweight="1pt">
              <v:fill color2="#0c0" angle="-135" focus="-50%" type="gradient"/>
              <v:shadow on="t" type="double" color="#f90" color2="shadow add(102)" offset="-3pt,-3pt" offset2="-6pt,-6pt"/>
              <v:textpath style="font-family:&quot;Impact&quot;;v-text-kern:t" trim="t" fitpath="t" string="MOBIOM"/>
            </v:shape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37" type="#_x0000_t185" style="position:absolute;left:357;top:338;width:2047;height:1918" stroked="f">
              <v:textbox style="mso-next-textbox:#_x0000_s1037">
                <w:txbxContent>
                  <w:p w:rsidR="00257F14" w:rsidRDefault="008903CE" w:rsidP="00257F14">
                    <w:r>
                      <w:rPr>
                        <w:noProof/>
                        <w:sz w:val="20"/>
                        <w:szCs w:val="20"/>
                        <w:lang w:eastAsia="fr-FR"/>
                      </w:rPr>
                      <w:drawing>
                        <wp:inline distT="0" distB="0" distL="0" distR="0">
                          <wp:extent cx="1028700" cy="1019175"/>
                          <wp:effectExtent l="19050" t="0" r="0" b="0"/>
                          <wp:docPr id="1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28700" cy="1019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257F14" w:rsidRDefault="00257F14" w:rsidP="00257F14"/>
                </w:txbxContent>
              </v:textbox>
            </v:shape>
          </v:group>
        </w:pict>
      </w:r>
      <w:r w:rsidR="00A136F4">
        <w:rPr>
          <w:rFonts w:ascii="Arial" w:hAnsi="Arial" w:cs="Arial"/>
          <w:b/>
          <w:bCs/>
          <w:shadow/>
          <w:color w:val="008000"/>
          <w:sz w:val="18"/>
          <w:szCs w:val="18"/>
        </w:rPr>
        <w:t xml:space="preserve"> </w:t>
      </w:r>
    </w:p>
    <w:p w:rsidR="00257F14" w:rsidRDefault="00257F14" w:rsidP="00257F14">
      <w:pPr>
        <w:tabs>
          <w:tab w:val="left" w:pos="5640"/>
        </w:tabs>
        <w:spacing w:after="0"/>
        <w:rPr>
          <w:rFonts w:ascii="Arial" w:hAnsi="Arial" w:cs="Arial"/>
          <w:b/>
          <w:bCs/>
          <w:shadow/>
          <w:color w:val="008000"/>
          <w:sz w:val="18"/>
          <w:szCs w:val="18"/>
        </w:rPr>
      </w:pPr>
    </w:p>
    <w:p w:rsidR="00257F14" w:rsidRDefault="00257F14" w:rsidP="00257F14">
      <w:pPr>
        <w:tabs>
          <w:tab w:val="left" w:pos="5640"/>
        </w:tabs>
        <w:spacing w:after="0"/>
        <w:rPr>
          <w:rFonts w:ascii="Arial" w:hAnsi="Arial" w:cs="Arial"/>
          <w:b/>
          <w:bCs/>
          <w:shadow/>
          <w:color w:val="008000"/>
          <w:sz w:val="18"/>
          <w:szCs w:val="18"/>
        </w:rPr>
      </w:pPr>
    </w:p>
    <w:p w:rsidR="00257F14" w:rsidRDefault="00257F14" w:rsidP="00257F14">
      <w:pPr>
        <w:tabs>
          <w:tab w:val="left" w:pos="5640"/>
        </w:tabs>
        <w:spacing w:after="0"/>
        <w:rPr>
          <w:rFonts w:ascii="Arial" w:hAnsi="Arial" w:cs="Arial"/>
          <w:b/>
          <w:bCs/>
          <w:shadow/>
          <w:color w:val="008000"/>
          <w:sz w:val="18"/>
          <w:szCs w:val="18"/>
        </w:rPr>
      </w:pPr>
    </w:p>
    <w:p w:rsidR="00257F14" w:rsidRDefault="00257F14" w:rsidP="00257F14">
      <w:pPr>
        <w:tabs>
          <w:tab w:val="left" w:pos="5640"/>
        </w:tabs>
        <w:spacing w:after="0"/>
        <w:rPr>
          <w:rFonts w:ascii="Arial" w:hAnsi="Arial" w:cs="Arial"/>
          <w:b/>
          <w:bCs/>
          <w:shadow/>
          <w:color w:val="008000"/>
          <w:sz w:val="18"/>
          <w:szCs w:val="18"/>
        </w:rPr>
      </w:pPr>
    </w:p>
    <w:p w:rsidR="00257F14" w:rsidRDefault="00257F14" w:rsidP="00257F14">
      <w:pPr>
        <w:tabs>
          <w:tab w:val="left" w:pos="5640"/>
        </w:tabs>
        <w:spacing w:after="0"/>
        <w:rPr>
          <w:rFonts w:ascii="Arial" w:hAnsi="Arial" w:cs="Arial"/>
          <w:b/>
          <w:bCs/>
          <w:shadow/>
          <w:color w:val="008000"/>
          <w:sz w:val="18"/>
          <w:szCs w:val="18"/>
        </w:rPr>
      </w:pPr>
    </w:p>
    <w:p w:rsidR="00257F14" w:rsidRDefault="00257F14" w:rsidP="00257F14">
      <w:pPr>
        <w:tabs>
          <w:tab w:val="left" w:pos="5640"/>
        </w:tabs>
        <w:spacing w:after="0"/>
        <w:rPr>
          <w:rFonts w:ascii="Arial" w:hAnsi="Arial" w:cs="Arial"/>
          <w:b/>
          <w:bCs/>
          <w:shadow/>
          <w:color w:val="008000"/>
          <w:sz w:val="18"/>
          <w:szCs w:val="18"/>
        </w:rPr>
      </w:pPr>
    </w:p>
    <w:p w:rsidR="00257F14" w:rsidRDefault="00257F14" w:rsidP="00257F14">
      <w:pPr>
        <w:tabs>
          <w:tab w:val="left" w:pos="5640"/>
        </w:tabs>
        <w:spacing w:after="0"/>
        <w:rPr>
          <w:rFonts w:ascii="Arial" w:hAnsi="Arial" w:cs="Arial"/>
          <w:b/>
          <w:bCs/>
          <w:shadow/>
          <w:color w:val="008000"/>
          <w:sz w:val="18"/>
          <w:szCs w:val="18"/>
        </w:rPr>
      </w:pPr>
    </w:p>
    <w:p w:rsidR="00257F14" w:rsidRDefault="00257F14" w:rsidP="00257F14">
      <w:pPr>
        <w:tabs>
          <w:tab w:val="left" w:pos="5640"/>
        </w:tabs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hadow/>
          <w:color w:val="008000"/>
          <w:sz w:val="18"/>
          <w:szCs w:val="18"/>
        </w:rPr>
        <w:t>Mali</w:t>
      </w:r>
      <w:r>
        <w:rPr>
          <w:b/>
          <w:bCs/>
          <w:shadow/>
          <w:color w:val="008000"/>
          <w:sz w:val="18"/>
          <w:szCs w:val="18"/>
        </w:rPr>
        <w:t xml:space="preserve">  </w:t>
      </w:r>
      <w:r>
        <w:rPr>
          <w:rFonts w:ascii="Arial" w:hAnsi="Arial" w:cs="Arial"/>
          <w:b/>
          <w:bCs/>
          <w:shadow/>
          <w:color w:val="008000"/>
          <w:sz w:val="18"/>
          <w:szCs w:val="18"/>
          <w:lang w:val="af-ZA"/>
        </w:rPr>
        <w:t>Sεnεfεn</w:t>
      </w:r>
      <w:r>
        <w:rPr>
          <w:rFonts w:ascii="Arial" w:hAnsi="Arial" w:cs="Arial"/>
          <w:b/>
          <w:bCs/>
          <w:shadow/>
          <w:color w:val="008000"/>
          <w:sz w:val="18"/>
          <w:szCs w:val="18"/>
        </w:rPr>
        <w:t xml:space="preserve">  </w:t>
      </w:r>
      <w:r>
        <w:rPr>
          <w:rFonts w:ascii="Arial" w:hAnsi="Arial" w:cs="Arial"/>
          <w:b/>
          <w:bCs/>
          <w:shadow/>
          <w:color w:val="008000"/>
          <w:sz w:val="18"/>
          <w:szCs w:val="18"/>
          <w:lang w:val="af-ZA"/>
        </w:rPr>
        <w:t>H</w:t>
      </w:r>
      <w:r>
        <w:rPr>
          <w:rFonts w:ascii="Arial Unicode MS" w:eastAsia="Arial Unicode MS" w:hAnsi="Arial Unicode MS" w:cs="Arial Unicode MS" w:hint="eastAsia"/>
          <w:b/>
          <w:bCs/>
          <w:shadow/>
          <w:color w:val="008000"/>
          <w:sz w:val="18"/>
          <w:szCs w:val="18"/>
          <w:lang w:val="af-ZA"/>
        </w:rPr>
        <w:t>Ɔ</w:t>
      </w:r>
      <w:r>
        <w:rPr>
          <w:rFonts w:ascii="Arial" w:eastAsia="Arial Unicode MS" w:hAnsi="Arial" w:cs="Arial"/>
          <w:b/>
          <w:bCs/>
          <w:shadow/>
          <w:color w:val="008000"/>
          <w:sz w:val="18"/>
          <w:szCs w:val="18"/>
          <w:lang w:val="af-ZA"/>
        </w:rPr>
        <w:t>r</w:t>
      </w:r>
      <w:r>
        <w:rPr>
          <w:rFonts w:ascii="Arial Unicode MS" w:eastAsia="Arial Unicode MS" w:hAnsi="Arial Unicode MS" w:cs="Arial Unicode MS" w:hint="eastAsia"/>
          <w:b/>
          <w:bCs/>
          <w:shadow/>
          <w:color w:val="008000"/>
          <w:sz w:val="18"/>
          <w:szCs w:val="18"/>
          <w:lang w:val="af-ZA"/>
        </w:rPr>
        <w:t>Ɔ</w:t>
      </w:r>
      <w:r>
        <w:rPr>
          <w:rFonts w:ascii="Arial" w:eastAsia="Arial Unicode MS" w:hAnsi="Arial" w:cs="Arial"/>
          <w:b/>
          <w:bCs/>
          <w:shadow/>
          <w:color w:val="008000"/>
          <w:sz w:val="18"/>
          <w:szCs w:val="18"/>
          <w:lang w:val="af-ZA"/>
        </w:rPr>
        <w:t>nw</w:t>
      </w:r>
      <w:r>
        <w:rPr>
          <w:rFonts w:ascii="Arial Unicode MS" w:eastAsia="Arial Unicode MS" w:hAnsi="Arial Unicode MS" w:cs="Arial Unicode MS" w:hint="eastAsia"/>
          <w:b/>
          <w:bCs/>
          <w:shadow/>
          <w:color w:val="008000"/>
          <w:sz w:val="18"/>
          <w:szCs w:val="18"/>
        </w:rPr>
        <w:t xml:space="preserve">  </w:t>
      </w:r>
      <w:r>
        <w:rPr>
          <w:rFonts w:ascii="Arial" w:eastAsia="Arial Unicode MS" w:hAnsi="Arial" w:cs="Arial"/>
          <w:b/>
          <w:bCs/>
          <w:shadow/>
          <w:color w:val="008000"/>
          <w:sz w:val="18"/>
          <w:szCs w:val="18"/>
          <w:lang w:val="af-ZA"/>
        </w:rPr>
        <w:t>Jiidili</w:t>
      </w:r>
      <w:r>
        <w:rPr>
          <w:rFonts w:ascii="Arial Unicode MS" w:eastAsia="Arial Unicode MS" w:hAnsi="Arial Unicode MS" w:cs="Arial Unicode MS" w:hint="eastAsia"/>
          <w:b/>
          <w:bCs/>
          <w:shadow/>
          <w:color w:val="008000"/>
          <w:sz w:val="18"/>
          <w:szCs w:val="18"/>
        </w:rPr>
        <w:t xml:space="preserve">  </w:t>
      </w:r>
      <w:r>
        <w:rPr>
          <w:rFonts w:ascii="Arial" w:eastAsia="Arial Unicode MS" w:hAnsi="Arial" w:cs="Arial"/>
          <w:b/>
          <w:bCs/>
          <w:shadow/>
          <w:color w:val="008000"/>
          <w:sz w:val="18"/>
          <w:szCs w:val="18"/>
          <w:lang w:val="af-ZA"/>
        </w:rPr>
        <w:t>J</w:t>
      </w:r>
      <w:r>
        <w:rPr>
          <w:rFonts w:ascii="Arial" w:hAnsi="Arial" w:cs="Arial"/>
          <w:b/>
          <w:bCs/>
          <w:shadow/>
          <w:color w:val="008000"/>
          <w:sz w:val="18"/>
          <w:szCs w:val="18"/>
          <w:lang w:val="af-ZA"/>
        </w:rPr>
        <w:t xml:space="preserve">εkulu </w:t>
      </w:r>
      <w:r>
        <w:rPr>
          <w:rFonts w:ascii="Arial" w:hAnsi="Arial" w:cs="Arial"/>
          <w:b/>
          <w:bCs/>
          <w:shadow/>
          <w:color w:val="993300"/>
          <w:sz w:val="18"/>
          <w:szCs w:val="18"/>
          <w:lang w:val="af-ZA"/>
        </w:rPr>
        <w:t>/ Malian Biologic Mouvement</w:t>
      </w:r>
      <w:r>
        <w:rPr>
          <w:rFonts w:ascii="Arial" w:hAnsi="Arial" w:cs="Arial"/>
          <w:sz w:val="18"/>
          <w:szCs w:val="18"/>
        </w:rPr>
        <w:t xml:space="preserve">  </w:t>
      </w:r>
    </w:p>
    <w:p w:rsidR="00BE036C" w:rsidRPr="00C121A1" w:rsidRDefault="00257F14" w:rsidP="00C121A1">
      <w:pPr>
        <w:tabs>
          <w:tab w:val="left" w:pos="5640"/>
        </w:tabs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Siège social : </w:t>
      </w:r>
      <w:r>
        <w:rPr>
          <w:rFonts w:ascii="Arial" w:hAnsi="Arial" w:cs="Arial"/>
          <w:b/>
          <w:sz w:val="18"/>
          <w:szCs w:val="18"/>
          <w:lang w:val="af-ZA"/>
        </w:rPr>
        <w:t>Bougoun</w:t>
      </w:r>
      <w:r>
        <w:rPr>
          <w:rFonts w:ascii="Arial" w:hAnsi="Arial" w:cs="Arial"/>
          <w:sz w:val="18"/>
          <w:szCs w:val="18"/>
          <w:lang w:val="af-ZA"/>
        </w:rPr>
        <w:t>i</w:t>
      </w:r>
      <w:r>
        <w:rPr>
          <w:rFonts w:ascii="Arial" w:hAnsi="Arial" w:cs="Arial"/>
          <w:sz w:val="18"/>
          <w:szCs w:val="18"/>
        </w:rPr>
        <w:t>. Tél :(223)</w:t>
      </w:r>
      <w:r w:rsidR="00F1754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 w:rsidR="00F1754A">
        <w:rPr>
          <w:rFonts w:ascii="Arial" w:hAnsi="Arial" w:cs="Arial"/>
          <w:sz w:val="18"/>
          <w:szCs w:val="18"/>
        </w:rPr>
        <w:t>21 6517</w:t>
      </w:r>
      <w:r w:rsidR="00F307A2">
        <w:rPr>
          <w:rFonts w:ascii="Arial" w:hAnsi="Arial" w:cs="Arial"/>
          <w:sz w:val="18"/>
          <w:szCs w:val="18"/>
        </w:rPr>
        <w:t>29</w:t>
      </w:r>
      <w:r w:rsidR="00F1754A">
        <w:rPr>
          <w:rFonts w:ascii="Arial" w:hAnsi="Arial" w:cs="Arial"/>
          <w:sz w:val="18"/>
          <w:szCs w:val="18"/>
        </w:rPr>
        <w:t xml:space="preserve"> </w:t>
      </w:r>
      <w:r w:rsidR="007915CF" w:rsidRPr="007915CF">
        <w:rPr>
          <w:b/>
          <w:sz w:val="28"/>
        </w:rPr>
        <w:t xml:space="preserve"> </w:t>
      </w:r>
    </w:p>
    <w:tbl>
      <w:tblPr>
        <w:tblW w:w="1893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83"/>
        <w:gridCol w:w="2684"/>
        <w:gridCol w:w="1020"/>
        <w:gridCol w:w="438"/>
        <w:gridCol w:w="5814"/>
        <w:gridCol w:w="3095"/>
        <w:gridCol w:w="55"/>
        <w:gridCol w:w="3095"/>
        <w:gridCol w:w="55"/>
      </w:tblGrid>
      <w:tr w:rsidR="0052269B" w:rsidRPr="0052269B" w:rsidTr="00EC4A19">
        <w:trPr>
          <w:gridAfter w:val="6"/>
          <w:wAfter w:w="12552" w:type="dxa"/>
          <w:trHeight w:val="300"/>
        </w:trPr>
        <w:tc>
          <w:tcPr>
            <w:tcW w:w="6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69B" w:rsidRPr="0052269B" w:rsidRDefault="0052269B" w:rsidP="00F307A2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trHeight w:val="1594"/>
        </w:trPr>
        <w:tc>
          <w:tcPr>
            <w:tcW w:w="6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69B" w:rsidRPr="00D47A1A" w:rsidRDefault="001B6609" w:rsidP="007A55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 xml:space="preserve">PRESENTATION  DES </w:t>
            </w:r>
            <w:r w:rsidR="00A0793B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 xml:space="preserve">  ACTIVITES</w:t>
            </w:r>
            <w:r w:rsidR="0052269B"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 xml:space="preserve">  DANS   LE </w:t>
            </w:r>
            <w:r w:rsidR="003327A1"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 xml:space="preserve"> CADRE                      </w:t>
            </w: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 xml:space="preserve"> </w:t>
            </w:r>
            <w:r w:rsidR="003327A1"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 xml:space="preserve">            </w:t>
            </w:r>
            <w:r w:rsidR="00711069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 xml:space="preserve">                    D</w:t>
            </w: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 xml:space="preserve">U  PROGRAMME   AFRICA  </w:t>
            </w:r>
            <w:r w:rsidR="00711069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RISING</w:t>
            </w:r>
          </w:p>
          <w:p w:rsidR="0052269B" w:rsidRPr="00D47A1A" w:rsidRDefault="0052269B" w:rsidP="007A55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</w:p>
          <w:p w:rsidR="0052269B" w:rsidRPr="00D47A1A" w:rsidRDefault="00AF16D8" w:rsidP="007A55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I  ACTIVITES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F307A2">
            <w:pPr>
              <w:spacing w:after="0" w:line="240" w:lineRule="auto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F307A2">
            <w:pPr>
              <w:spacing w:after="0" w:line="240" w:lineRule="auto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trHeight w:val="300"/>
        </w:trPr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F307A2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F307A2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F307A2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F307A2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300" w:type="dxa"/>
            <w:gridSpan w:val="4"/>
            <w:vAlign w:val="center"/>
            <w:hideMark/>
          </w:tcPr>
          <w:p w:rsidR="0052269B" w:rsidRPr="00D47A1A" w:rsidRDefault="0052269B" w:rsidP="00F307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trHeight w:val="675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7A55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STRUCTURES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7A55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TYPES D'APPUIS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7A55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PERIODE</w:t>
            </w:r>
          </w:p>
        </w:tc>
        <w:tc>
          <w:tcPr>
            <w:tcW w:w="5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7A55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RESULTATS</w:t>
            </w:r>
          </w:p>
        </w:tc>
        <w:tc>
          <w:tcPr>
            <w:tcW w:w="6300" w:type="dxa"/>
            <w:gridSpan w:val="4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77"/>
        </w:trPr>
        <w:tc>
          <w:tcPr>
            <w:tcW w:w="26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ICRISAT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6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 </w:t>
            </w:r>
          </w:p>
          <w:p w:rsidR="0052269B" w:rsidRPr="00D47A1A" w:rsidRDefault="000121A2" w:rsidP="000121A2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Planification 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et élabora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tion</w:t>
            </w:r>
          </w:p>
          <w:p w:rsidR="0052269B" w:rsidRPr="00D47A1A" w:rsidRDefault="0052269B" w:rsidP="000121A2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du budget 2014-2015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145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Mai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58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0121A2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Un budget programme est élaboré avec la participation de 8 acteurs dont deux femmes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0121A2" w:rsidP="000121A2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Identification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des testeurs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Mai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La liste des testeurs  est disponible</w:t>
            </w: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0121A2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Mise en place et suivi des</w:t>
            </w:r>
            <w:r w:rsidR="000121A2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essais 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agronomiques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145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Juin-Nov</w:t>
            </w:r>
            <w:r w:rsidR="0068550C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embre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 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58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0121A2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93 testeurs sur 117 planifiés ont installé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des essais dont les protocoles sont renseignés et 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interprétés par les chercheurs</w:t>
            </w:r>
            <w:r w:rsidR="00B4702A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.</w:t>
            </w:r>
          </w:p>
          <w:p w:rsidR="00B4702A" w:rsidRPr="00D47A1A" w:rsidRDefault="00B4702A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-la restitution des résultats préliminaires est  faite dans les </w:t>
            </w:r>
            <w:r w:rsidR="00BA5723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villages.</w:t>
            </w: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Suivi des plateformes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d'embouche ovine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145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Juin-Déc</w:t>
            </w:r>
            <w:r w:rsidR="0068550C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embre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58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B7546E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Les 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activités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sont</w:t>
            </w:r>
            <w:r w:rsidR="00B4702A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clôturées et sanctionnées par </w:t>
            </w:r>
          </w:p>
          <w:p w:rsidR="0052269B" w:rsidRPr="00D47A1A" w:rsidRDefault="00B4702A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Un 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rapport faisant ressortir l'état </w:t>
            </w:r>
            <w:r w:rsidR="00B7546E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d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e remboursement dans les </w:t>
            </w:r>
            <w:r w:rsidR="00B7546E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villages après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certaines pertes dont Dièba est à 100 %, Yor</w:t>
            </w:r>
            <w:r w:rsidR="000E31FF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obougoula 100% et Sibirila 100 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%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.</w:t>
            </w:r>
          </w:p>
          <w:p w:rsidR="00B4702A" w:rsidRPr="00D47A1A" w:rsidRDefault="00B4702A" w:rsidP="00B4702A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-Les bénéficiaires ont contribué  à la  couverture de certaines charges familiales</w:t>
            </w:r>
            <w:r w:rsidR="00C426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(la santé ,</w:t>
            </w:r>
            <w:r w:rsidR="00BA5723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l’habillement et les fournitures scolaires des enfants ….. ) à partir des bénéfices générés .</w:t>
            </w: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49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70"/>
        </w:trPr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1B6609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Installation des pluviomètres</w:t>
            </w:r>
          </w:p>
          <w:p w:rsidR="0052269B" w:rsidRPr="00D47A1A" w:rsidRDefault="0052269B" w:rsidP="001B6609">
            <w:pPr>
              <w:spacing w:after="0" w:line="240" w:lineRule="auto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1B6609">
            <w:pPr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145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68550C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J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uillet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58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0121A2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25 pluviomètres sont installés dans les 5 villages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Africa Rising</w:t>
            </w:r>
          </w:p>
          <w:p w:rsidR="0052269B" w:rsidRPr="00D47A1A" w:rsidRDefault="000121A2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les hauteurs de pluie </w:t>
            </w:r>
            <w:r w:rsidR="00544302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</w:t>
            </w:r>
            <w:r w:rsidR="00B26459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référenc</w:t>
            </w:r>
            <w:r w:rsidR="00544302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ielles 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recueillies sont disponibles</w:t>
            </w: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b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1B6609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Rencontres d'identification</w:t>
            </w:r>
          </w:p>
          <w:p w:rsidR="0052269B" w:rsidRPr="00D47A1A" w:rsidRDefault="0052269B" w:rsidP="001B6609">
            <w:pPr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de site du parc technologique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145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68550C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Dé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c</w:t>
            </w:r>
            <w:r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embre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-janv</w:t>
            </w:r>
            <w:r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ier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 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58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4A360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--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Des rencontres so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nt tenues au MoBio</w:t>
            </w:r>
            <w:r w:rsidR="00BA5723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M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, à Flola et à 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Madina</w:t>
            </w:r>
          </w:p>
          <w:p w:rsidR="0052269B" w:rsidRPr="00D47A1A" w:rsidRDefault="004A360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Le site du parc technologique est identifié à flola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et fait une superficie de 2 ha250m</w:t>
            </w:r>
          </w:p>
          <w:p w:rsidR="0052269B" w:rsidRPr="00D47A1A" w:rsidRDefault="004A360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Un protocole de collaboration est signé entre le</w:t>
            </w:r>
          </w:p>
          <w:p w:rsidR="0052269B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village et le MoBioM</w:t>
            </w:r>
          </w:p>
          <w:p w:rsidR="00B364D7" w:rsidRPr="00D47A1A" w:rsidRDefault="00B364D7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-les travaux d’aménagement ont </w:t>
            </w:r>
            <w:r w:rsidR="0066588C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démarré.</w:t>
            </w: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4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1B6609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Formation des techniciens sur l’Arachide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BA5723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J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uin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4A360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 13 techniciens  dont une femme ont  reçu la </w:t>
            </w:r>
            <w:r w:rsidR="00BA5723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formation.</w:t>
            </w:r>
          </w:p>
          <w:p w:rsidR="0052269B" w:rsidRPr="00D47A1A" w:rsidRDefault="004A360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Un rapport de formation est produit</w:t>
            </w:r>
          </w:p>
        </w:tc>
        <w:tc>
          <w:tcPr>
            <w:tcW w:w="6245" w:type="dxa"/>
            <w:gridSpan w:val="3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D9762A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62A" w:rsidRPr="00D47A1A" w:rsidRDefault="00D9762A" w:rsidP="00B7546E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62A" w:rsidRPr="00D47A1A" w:rsidRDefault="00D9762A" w:rsidP="001B6609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Rapportage 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62A" w:rsidRPr="00D47A1A" w:rsidRDefault="00D9762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Septembre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62A" w:rsidRPr="00D47A1A" w:rsidRDefault="00D9762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Les rapports technique et financier sont produits et fournis.</w:t>
            </w:r>
          </w:p>
        </w:tc>
        <w:tc>
          <w:tcPr>
            <w:tcW w:w="6245" w:type="dxa"/>
            <w:gridSpan w:val="3"/>
            <w:vAlign w:val="center"/>
            <w:hideMark/>
          </w:tcPr>
          <w:p w:rsidR="00D9762A" w:rsidRPr="00D47A1A" w:rsidRDefault="00D9762A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2020"/>
        </w:trPr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901878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Formation sur la 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Conduite des tests culinaires à Sibirila et Flola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 Janvier 2015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4A360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Cinq variétés de sorgho et de maïs ont été 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testées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dans chacun des sites.</w:t>
            </w:r>
          </w:p>
          <w:p w:rsidR="0052269B" w:rsidRPr="00D47A1A" w:rsidRDefault="004A360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La variété Soumalemba a beaucoup attiré l’attention des participants.</w:t>
            </w:r>
          </w:p>
          <w:p w:rsidR="0052269B" w:rsidRPr="00D47A1A" w:rsidRDefault="004A360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98 personnes dont60 femmes étaient 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présentes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sur les lieux.</w:t>
            </w:r>
          </w:p>
          <w:p w:rsidR="0052269B" w:rsidRPr="00D47A1A" w:rsidRDefault="004A360A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-L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es différents villages se sont engagés à poursuivre la conduite des essais à grande échelle</w:t>
            </w:r>
          </w:p>
        </w:tc>
        <w:tc>
          <w:tcPr>
            <w:tcW w:w="3095" w:type="dxa"/>
            <w:vMerge w:val="restart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  <w:tc>
          <w:tcPr>
            <w:tcW w:w="3150" w:type="dxa"/>
            <w:gridSpan w:val="2"/>
            <w:vMerge w:val="restart"/>
            <w:vAlign w:val="center"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AVRDC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Identification des testeurs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Mai</w:t>
            </w:r>
            <w:r w:rsidR="0068550C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–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Juin</w:t>
            </w:r>
          </w:p>
        </w:tc>
        <w:tc>
          <w:tcPr>
            <w:tcW w:w="5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EA0935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-Des rencontres d’identification sont tenues dans les villages.</w:t>
            </w:r>
          </w:p>
          <w:p w:rsidR="00EA0935" w:rsidRPr="00D47A1A" w:rsidRDefault="00EA0935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-La liste des testeurs est disponible</w:t>
            </w:r>
          </w:p>
        </w:tc>
        <w:tc>
          <w:tcPr>
            <w:tcW w:w="3095" w:type="dxa"/>
            <w:vMerge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  <w:tc>
          <w:tcPr>
            <w:tcW w:w="3150" w:type="dxa"/>
            <w:gridSpan w:val="2"/>
            <w:vMerge/>
            <w:vAlign w:val="center"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Mise en place et suivi des essais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Juin-Déc</w:t>
            </w:r>
            <w:r w:rsidR="0068550C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embre</w:t>
            </w:r>
          </w:p>
        </w:tc>
        <w:tc>
          <w:tcPr>
            <w:tcW w:w="5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55" w:rsidRPr="00D47A1A" w:rsidRDefault="00D61D55" w:rsidP="00D61D5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-77 essais sur 107 planifiés sont installés soit un taux de réalisation  de </w:t>
            </w:r>
            <w:r w:rsidR="00725BB7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71,96%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Les protocoles sont renseignés et don</w:t>
            </w:r>
            <w:r w:rsidR="004A360A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t 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les données sont à l’interprétation par les 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chercheurs.</w:t>
            </w:r>
          </w:p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L’engagement de certains villageois à appliquer les innovations</w:t>
            </w:r>
            <w:r w:rsidR="00BA5723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3095" w:type="dxa"/>
            <w:vMerge w:val="restart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  <w:tc>
          <w:tcPr>
            <w:tcW w:w="3150" w:type="dxa"/>
            <w:gridSpan w:val="2"/>
            <w:vMerge w:val="restart"/>
            <w:vAlign w:val="center"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gridAfter w:val="1"/>
          <w:wAfter w:w="55" w:type="dxa"/>
          <w:trHeight w:val="300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ICRAF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371F9A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Mise en place</w:t>
            </w:r>
            <w:r w:rsidR="00371F9A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et suivi des essences 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forestières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Juillet-Août</w:t>
            </w:r>
          </w:p>
        </w:tc>
        <w:tc>
          <w:tcPr>
            <w:tcW w:w="5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140  espèces améliorées sont installée</w:t>
            </w:r>
            <w:r w:rsidR="00C426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s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dans chacun des villages soit 600</w:t>
            </w:r>
            <w:r w:rsidR="004A360A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 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</w:t>
            </w:r>
            <w:r w:rsidR="004A360A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plants.</w:t>
            </w:r>
          </w:p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Des banques alimentaires sont installées dans ces villages avec un taux de </w:t>
            </w:r>
            <w:r w:rsidR="004A360A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réussite</w:t>
            </w:r>
            <w:r w:rsidR="008B549D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de 4</w:t>
            </w:r>
            <w:r w:rsidR="00D64299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0</w:t>
            </w:r>
            <w:r w:rsidR="004A360A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%.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Dans le cadre de </w:t>
            </w:r>
            <w:r w:rsidR="00F4413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la lutte anti érosive près de 1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000 plants sont mis en place à travers des courbes de niveaux à Sibirila.</w:t>
            </w:r>
          </w:p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8B549D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Deux techniciens,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cinq Animateurs</w:t>
            </w:r>
            <w:r w:rsidR="00D61D55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et relais sont formés sur les </w:t>
            </w:r>
            <w:r w:rsidR="004B04DD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mesures ph</w:t>
            </w:r>
            <w:r w:rsidR="00D47A1A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e</w:t>
            </w:r>
            <w:r w:rsidR="004B04DD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nologiques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et dotés de kits . </w:t>
            </w:r>
          </w:p>
        </w:tc>
        <w:tc>
          <w:tcPr>
            <w:tcW w:w="3095" w:type="dxa"/>
            <w:vMerge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  <w:tc>
          <w:tcPr>
            <w:tcW w:w="3150" w:type="dxa"/>
            <w:gridSpan w:val="2"/>
            <w:vMerge/>
            <w:vAlign w:val="center"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trHeight w:val="300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ICRAF /AMEDD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1B6609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Formation sur l’orientation et la mise en place des plateformes d’innovation à Koutiala</w:t>
            </w:r>
            <w:r w:rsidR="00F57997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et Bougouni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Novembre</w:t>
            </w:r>
          </w:p>
        </w:tc>
        <w:tc>
          <w:tcPr>
            <w:tcW w:w="5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Huit acteurs de Bougouni  dont deux femmes sont orientés et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</w:t>
            </w:r>
            <w:r w:rsidR="004B04DD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formés.</w:t>
            </w:r>
          </w:p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Les acteurs de Bougouni sont identifiés pour la  composition de la plateforme.</w:t>
            </w:r>
          </w:p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La plateforme du cercle de Bougouni est mise en place et dont les principes directeurs sont définis et adoptés</w:t>
            </w:r>
          </w:p>
        </w:tc>
        <w:tc>
          <w:tcPr>
            <w:tcW w:w="3150" w:type="dxa"/>
            <w:gridSpan w:val="2"/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  <w:tc>
          <w:tcPr>
            <w:tcW w:w="3150" w:type="dxa"/>
            <w:gridSpan w:val="2"/>
            <w:vAlign w:val="center"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  <w:tr w:rsidR="0052269B" w:rsidRPr="00D47A1A" w:rsidTr="00EC4A19">
        <w:trPr>
          <w:trHeight w:val="1718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ICRISAT/AVRDC/ICRAF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0121A2" w:rsidP="000121A2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Facilitation des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activités d’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évaluation externe du 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programme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Octobre</w:t>
            </w:r>
          </w:p>
        </w:tc>
        <w:tc>
          <w:tcPr>
            <w:tcW w:w="5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Trois rencontres sont tenues et ont vu la participation de 54 personnes dont 18 femmes</w:t>
            </w:r>
          </w:p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Des visites de parcelles ont été </w:t>
            </w: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réalisées.</w:t>
            </w:r>
          </w:p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--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La nécessité de  former  les producteurs sur la multiplication des semences  a été  soulignée.</w:t>
            </w:r>
          </w:p>
          <w:p w:rsidR="0052269B" w:rsidRPr="00D47A1A" w:rsidRDefault="008049A1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  <w:r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lastRenderedPageBreak/>
              <w:t>--</w:t>
            </w:r>
            <w:r w:rsidR="0052269B" w:rsidRPr="00D47A1A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Une recommandation de faire des visi</w:t>
            </w:r>
            <w:r w:rsidR="00901878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tes inter paysannes a été </w:t>
            </w:r>
            <w:r w:rsidR="00A411C4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>évoquée.</w:t>
            </w:r>
            <w:r w:rsidR="00711CAF">
              <w:rPr>
                <w:rFonts w:eastAsia="Times New Roman"/>
                <w:color w:val="000000"/>
                <w:sz w:val="28"/>
                <w:szCs w:val="28"/>
                <w:lang w:eastAsia="fr-FR"/>
              </w:rPr>
              <w:t xml:space="preserve"> </w:t>
            </w:r>
          </w:p>
          <w:p w:rsidR="0052269B" w:rsidRPr="00D47A1A" w:rsidRDefault="0052269B" w:rsidP="00B7546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  <w:vAlign w:val="center"/>
          </w:tcPr>
          <w:p w:rsidR="0052269B" w:rsidRPr="00D47A1A" w:rsidRDefault="0052269B" w:rsidP="00B754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</w:tc>
      </w:tr>
    </w:tbl>
    <w:p w:rsidR="00BE036C" w:rsidRPr="00D47A1A" w:rsidRDefault="00BE036C" w:rsidP="00B7546E">
      <w:pPr>
        <w:jc w:val="both"/>
        <w:rPr>
          <w:sz w:val="28"/>
          <w:szCs w:val="28"/>
        </w:rPr>
      </w:pPr>
    </w:p>
    <w:p w:rsidR="00BE036C" w:rsidRPr="00D47A1A" w:rsidRDefault="00AF16D8" w:rsidP="00B7546E">
      <w:pPr>
        <w:jc w:val="both"/>
        <w:rPr>
          <w:sz w:val="28"/>
          <w:szCs w:val="28"/>
        </w:rPr>
      </w:pPr>
      <w:r w:rsidRPr="00D47A1A">
        <w:rPr>
          <w:sz w:val="28"/>
          <w:szCs w:val="28"/>
        </w:rPr>
        <w:t xml:space="preserve">II  </w:t>
      </w:r>
      <w:r w:rsidR="00D61D55" w:rsidRPr="00D47A1A">
        <w:rPr>
          <w:b/>
          <w:sz w:val="28"/>
          <w:szCs w:val="28"/>
        </w:rPr>
        <w:t xml:space="preserve">DIFFICULTES. </w:t>
      </w:r>
      <w:r w:rsidR="00A411C4">
        <w:rPr>
          <w:b/>
          <w:sz w:val="28"/>
          <w:szCs w:val="28"/>
        </w:rPr>
        <w:t>L</w:t>
      </w:r>
      <w:r w:rsidR="00A411C4">
        <w:rPr>
          <w:sz w:val="28"/>
          <w:szCs w:val="28"/>
        </w:rPr>
        <w:t>a non mise  à disposition de la deuxième tranche du fonds soit 40% du budget n’a pas permis de tenir la formation des femmes sur la transformation du soja et celle des producteurs semenciers. La</w:t>
      </w:r>
      <w:r w:rsidRPr="00D47A1A">
        <w:rPr>
          <w:sz w:val="28"/>
          <w:szCs w:val="28"/>
        </w:rPr>
        <w:t xml:space="preserve"> collaboration entre</w:t>
      </w:r>
      <w:r w:rsidR="00D47A1A" w:rsidRPr="00D47A1A">
        <w:rPr>
          <w:sz w:val="28"/>
          <w:szCs w:val="28"/>
        </w:rPr>
        <w:t xml:space="preserve"> le MoBioM et ses partenaires  </w:t>
      </w:r>
      <w:r w:rsidRPr="00D47A1A">
        <w:rPr>
          <w:sz w:val="28"/>
          <w:szCs w:val="28"/>
        </w:rPr>
        <w:t>AVRDC et l’ICRAF</w:t>
      </w:r>
      <w:r w:rsidR="00F82860" w:rsidRPr="00D47A1A">
        <w:rPr>
          <w:sz w:val="28"/>
          <w:szCs w:val="28"/>
        </w:rPr>
        <w:t xml:space="preserve"> se fait en dehors d’un contrat définissant les engagements et les responsabilités de chacune des </w:t>
      </w:r>
      <w:r w:rsidR="00A411C4">
        <w:rPr>
          <w:sz w:val="28"/>
          <w:szCs w:val="28"/>
        </w:rPr>
        <w:t xml:space="preserve">parties toutes choses qui ne rendent pas </w:t>
      </w:r>
      <w:r w:rsidR="00170E17">
        <w:rPr>
          <w:sz w:val="28"/>
          <w:szCs w:val="28"/>
        </w:rPr>
        <w:t xml:space="preserve">fluides les </w:t>
      </w:r>
      <w:r w:rsidR="00A0793B">
        <w:rPr>
          <w:sz w:val="28"/>
          <w:szCs w:val="28"/>
        </w:rPr>
        <w:t>activités.</w:t>
      </w:r>
    </w:p>
    <w:p w:rsidR="00BE036C" w:rsidRPr="00D47A1A" w:rsidRDefault="00F82860" w:rsidP="00B7546E">
      <w:pPr>
        <w:jc w:val="both"/>
        <w:rPr>
          <w:sz w:val="28"/>
          <w:szCs w:val="28"/>
        </w:rPr>
      </w:pPr>
      <w:r w:rsidRPr="00D47A1A">
        <w:rPr>
          <w:b/>
          <w:sz w:val="28"/>
          <w:szCs w:val="28"/>
        </w:rPr>
        <w:t>III  RECOMMANDATIONS </w:t>
      </w:r>
      <w:r w:rsidR="00875A99" w:rsidRPr="00D47A1A">
        <w:rPr>
          <w:b/>
          <w:sz w:val="28"/>
          <w:szCs w:val="28"/>
        </w:rPr>
        <w:t>: Pour</w:t>
      </w:r>
      <w:r w:rsidRPr="00D47A1A">
        <w:rPr>
          <w:b/>
          <w:sz w:val="28"/>
          <w:szCs w:val="28"/>
        </w:rPr>
        <w:t xml:space="preserve"> la</w:t>
      </w:r>
      <w:r w:rsidR="00875A99" w:rsidRPr="00D47A1A">
        <w:rPr>
          <w:b/>
          <w:sz w:val="28"/>
          <w:szCs w:val="28"/>
        </w:rPr>
        <w:t xml:space="preserve"> campagne 2015 /2016, il serait alors </w:t>
      </w:r>
      <w:r w:rsidRPr="00D47A1A">
        <w:rPr>
          <w:b/>
          <w:sz w:val="28"/>
          <w:szCs w:val="28"/>
        </w:rPr>
        <w:t>important que chacune de ces structures fasse une planification</w:t>
      </w:r>
      <w:r w:rsidR="00875A99" w:rsidRPr="00D47A1A">
        <w:rPr>
          <w:b/>
          <w:sz w:val="28"/>
          <w:szCs w:val="28"/>
        </w:rPr>
        <w:t xml:space="preserve"> conjointe avec le MoBioM et signer un contrat sur la base d’un </w:t>
      </w:r>
      <w:r w:rsidR="000431DF" w:rsidRPr="00D47A1A">
        <w:rPr>
          <w:b/>
          <w:sz w:val="28"/>
          <w:szCs w:val="28"/>
        </w:rPr>
        <w:t>budget</w:t>
      </w:r>
      <w:r w:rsidR="000431DF" w:rsidRPr="00D47A1A">
        <w:rPr>
          <w:sz w:val="28"/>
          <w:szCs w:val="28"/>
        </w:rPr>
        <w:t>.</w:t>
      </w:r>
    </w:p>
    <w:p w:rsidR="00875A99" w:rsidRPr="00D47A1A" w:rsidRDefault="00F712B1" w:rsidP="00B754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E036C" w:rsidRPr="00D47A1A" w:rsidRDefault="00BE036C" w:rsidP="00B7546E">
      <w:pPr>
        <w:jc w:val="both"/>
        <w:rPr>
          <w:sz w:val="28"/>
          <w:szCs w:val="28"/>
        </w:rPr>
      </w:pPr>
    </w:p>
    <w:p w:rsidR="00BE036C" w:rsidRPr="00D47A1A" w:rsidRDefault="00BE036C" w:rsidP="00B7546E">
      <w:pPr>
        <w:jc w:val="both"/>
        <w:rPr>
          <w:sz w:val="28"/>
          <w:szCs w:val="28"/>
        </w:rPr>
      </w:pPr>
    </w:p>
    <w:p w:rsidR="00BE036C" w:rsidRPr="00D47A1A" w:rsidRDefault="00BE036C">
      <w:pPr>
        <w:rPr>
          <w:sz w:val="28"/>
          <w:szCs w:val="28"/>
        </w:rPr>
      </w:pPr>
    </w:p>
    <w:p w:rsidR="00BE036C" w:rsidRPr="00D47A1A" w:rsidRDefault="00BE036C">
      <w:pPr>
        <w:rPr>
          <w:sz w:val="28"/>
          <w:szCs w:val="28"/>
        </w:rPr>
      </w:pPr>
    </w:p>
    <w:p w:rsidR="00BE036C" w:rsidRPr="00D47A1A" w:rsidRDefault="00BE036C">
      <w:pPr>
        <w:rPr>
          <w:sz w:val="28"/>
          <w:szCs w:val="28"/>
        </w:rPr>
      </w:pPr>
    </w:p>
    <w:p w:rsidR="00BE036C" w:rsidRPr="00D47A1A" w:rsidRDefault="00BE036C">
      <w:pPr>
        <w:rPr>
          <w:sz w:val="28"/>
          <w:szCs w:val="28"/>
        </w:rPr>
      </w:pPr>
    </w:p>
    <w:p w:rsidR="00BE036C" w:rsidRPr="00D47A1A" w:rsidRDefault="00BE036C">
      <w:pPr>
        <w:rPr>
          <w:sz w:val="28"/>
          <w:szCs w:val="28"/>
        </w:rPr>
      </w:pPr>
    </w:p>
    <w:p w:rsidR="00BE036C" w:rsidRPr="00D47A1A" w:rsidRDefault="00BE036C">
      <w:pPr>
        <w:rPr>
          <w:sz w:val="28"/>
          <w:szCs w:val="28"/>
        </w:rPr>
      </w:pPr>
    </w:p>
    <w:p w:rsidR="00BE036C" w:rsidRPr="00D47A1A" w:rsidRDefault="00BE036C">
      <w:pPr>
        <w:rPr>
          <w:sz w:val="28"/>
          <w:szCs w:val="28"/>
        </w:rPr>
      </w:pPr>
    </w:p>
    <w:p w:rsidR="00BE036C" w:rsidRPr="00D47A1A" w:rsidRDefault="00BE036C">
      <w:pPr>
        <w:rPr>
          <w:sz w:val="28"/>
          <w:szCs w:val="28"/>
        </w:rPr>
      </w:pPr>
    </w:p>
    <w:p w:rsidR="00BE036C" w:rsidRPr="00D47A1A" w:rsidRDefault="00BE036C">
      <w:pPr>
        <w:rPr>
          <w:sz w:val="28"/>
          <w:szCs w:val="28"/>
        </w:rPr>
      </w:pPr>
    </w:p>
    <w:sectPr w:rsidR="00BE036C" w:rsidRPr="00D47A1A" w:rsidSect="00F307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337" w:rsidRDefault="003A6337" w:rsidP="00AF16D8">
      <w:pPr>
        <w:spacing w:after="0" w:line="240" w:lineRule="auto"/>
      </w:pPr>
      <w:r>
        <w:separator/>
      </w:r>
    </w:p>
  </w:endnote>
  <w:endnote w:type="continuationSeparator" w:id="1">
    <w:p w:rsidR="003A6337" w:rsidRDefault="003A6337" w:rsidP="00AF1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337" w:rsidRDefault="003A6337" w:rsidP="00AF16D8">
      <w:pPr>
        <w:spacing w:after="0" w:line="240" w:lineRule="auto"/>
      </w:pPr>
      <w:r>
        <w:separator/>
      </w:r>
    </w:p>
  </w:footnote>
  <w:footnote w:type="continuationSeparator" w:id="1">
    <w:p w:rsidR="003A6337" w:rsidRDefault="003A6337" w:rsidP="00AF1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351C"/>
    <w:multiLevelType w:val="hybridMultilevel"/>
    <w:tmpl w:val="5DB093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86D3E"/>
    <w:multiLevelType w:val="hybridMultilevel"/>
    <w:tmpl w:val="51C8E9B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45150A"/>
    <w:multiLevelType w:val="hybridMultilevel"/>
    <w:tmpl w:val="5DB093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F2013"/>
    <w:multiLevelType w:val="hybridMultilevel"/>
    <w:tmpl w:val="6354F89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3998319E"/>
    <w:multiLevelType w:val="hybridMultilevel"/>
    <w:tmpl w:val="67604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A7CE2"/>
    <w:multiLevelType w:val="hybridMultilevel"/>
    <w:tmpl w:val="59A6C5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D370F"/>
    <w:multiLevelType w:val="hybridMultilevel"/>
    <w:tmpl w:val="102002B4"/>
    <w:lvl w:ilvl="0" w:tplc="6FB4BF4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FF5334"/>
    <w:multiLevelType w:val="hybridMultilevel"/>
    <w:tmpl w:val="7654EA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24044A"/>
    <w:multiLevelType w:val="hybridMultilevel"/>
    <w:tmpl w:val="5EBCA8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75E39"/>
    <w:multiLevelType w:val="hybridMultilevel"/>
    <w:tmpl w:val="8DDA48EE"/>
    <w:lvl w:ilvl="0" w:tplc="8E28F5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36C"/>
    <w:rsid w:val="0000195E"/>
    <w:rsid w:val="000121A2"/>
    <w:rsid w:val="00015EFB"/>
    <w:rsid w:val="000431DF"/>
    <w:rsid w:val="00054CB1"/>
    <w:rsid w:val="00077F68"/>
    <w:rsid w:val="0008290E"/>
    <w:rsid w:val="000A337E"/>
    <w:rsid w:val="000C5BE3"/>
    <w:rsid w:val="000D17D6"/>
    <w:rsid w:val="000E31FF"/>
    <w:rsid w:val="000F3EE1"/>
    <w:rsid w:val="00137CC3"/>
    <w:rsid w:val="001668EA"/>
    <w:rsid w:val="00170E17"/>
    <w:rsid w:val="00186109"/>
    <w:rsid w:val="001B6609"/>
    <w:rsid w:val="001E72A1"/>
    <w:rsid w:val="002072B8"/>
    <w:rsid w:val="00217F56"/>
    <w:rsid w:val="00257F14"/>
    <w:rsid w:val="0026299A"/>
    <w:rsid w:val="00282B93"/>
    <w:rsid w:val="002A3F1F"/>
    <w:rsid w:val="002D18C0"/>
    <w:rsid w:val="002F1D95"/>
    <w:rsid w:val="0030777A"/>
    <w:rsid w:val="00314628"/>
    <w:rsid w:val="003327A1"/>
    <w:rsid w:val="003566C0"/>
    <w:rsid w:val="00371F9A"/>
    <w:rsid w:val="003939F8"/>
    <w:rsid w:val="00396399"/>
    <w:rsid w:val="003A6337"/>
    <w:rsid w:val="003D4F81"/>
    <w:rsid w:val="003D64DD"/>
    <w:rsid w:val="003D7B17"/>
    <w:rsid w:val="00414879"/>
    <w:rsid w:val="00414E7C"/>
    <w:rsid w:val="00415888"/>
    <w:rsid w:val="00421E97"/>
    <w:rsid w:val="00425F91"/>
    <w:rsid w:val="0044466B"/>
    <w:rsid w:val="00467F64"/>
    <w:rsid w:val="004A360A"/>
    <w:rsid w:val="004B04DD"/>
    <w:rsid w:val="004B6266"/>
    <w:rsid w:val="004C7408"/>
    <w:rsid w:val="004D255E"/>
    <w:rsid w:val="00504AB3"/>
    <w:rsid w:val="005170E1"/>
    <w:rsid w:val="0052269B"/>
    <w:rsid w:val="005278C6"/>
    <w:rsid w:val="00530765"/>
    <w:rsid w:val="00537814"/>
    <w:rsid w:val="00544302"/>
    <w:rsid w:val="0058568E"/>
    <w:rsid w:val="00586C37"/>
    <w:rsid w:val="005B6219"/>
    <w:rsid w:val="006046E4"/>
    <w:rsid w:val="0066588C"/>
    <w:rsid w:val="006843B3"/>
    <w:rsid w:val="0068550C"/>
    <w:rsid w:val="006A6AB6"/>
    <w:rsid w:val="00711069"/>
    <w:rsid w:val="00711CAF"/>
    <w:rsid w:val="00725BB7"/>
    <w:rsid w:val="007915CF"/>
    <w:rsid w:val="007A5573"/>
    <w:rsid w:val="007F57B4"/>
    <w:rsid w:val="008049A1"/>
    <w:rsid w:val="00814DC4"/>
    <w:rsid w:val="00870BF0"/>
    <w:rsid w:val="00875A99"/>
    <w:rsid w:val="008828FB"/>
    <w:rsid w:val="008903CE"/>
    <w:rsid w:val="008B1CCF"/>
    <w:rsid w:val="008B3FB5"/>
    <w:rsid w:val="008B549D"/>
    <w:rsid w:val="008C4750"/>
    <w:rsid w:val="00901878"/>
    <w:rsid w:val="00911333"/>
    <w:rsid w:val="0091346B"/>
    <w:rsid w:val="009247A3"/>
    <w:rsid w:val="00927298"/>
    <w:rsid w:val="00956328"/>
    <w:rsid w:val="0095728B"/>
    <w:rsid w:val="00984A58"/>
    <w:rsid w:val="0099272F"/>
    <w:rsid w:val="009C6642"/>
    <w:rsid w:val="009E4A42"/>
    <w:rsid w:val="00A0793B"/>
    <w:rsid w:val="00A136F4"/>
    <w:rsid w:val="00A411C4"/>
    <w:rsid w:val="00AB2A4B"/>
    <w:rsid w:val="00AB3097"/>
    <w:rsid w:val="00AF16D8"/>
    <w:rsid w:val="00B0343E"/>
    <w:rsid w:val="00B20A28"/>
    <w:rsid w:val="00B26459"/>
    <w:rsid w:val="00B364D7"/>
    <w:rsid w:val="00B4702A"/>
    <w:rsid w:val="00B53359"/>
    <w:rsid w:val="00B55F71"/>
    <w:rsid w:val="00B7546E"/>
    <w:rsid w:val="00B826C7"/>
    <w:rsid w:val="00BA5723"/>
    <w:rsid w:val="00BB36D8"/>
    <w:rsid w:val="00BE036C"/>
    <w:rsid w:val="00C121A1"/>
    <w:rsid w:val="00C15BBD"/>
    <w:rsid w:val="00C36965"/>
    <w:rsid w:val="00C40438"/>
    <w:rsid w:val="00C4261A"/>
    <w:rsid w:val="00C87BBD"/>
    <w:rsid w:val="00C96D2F"/>
    <w:rsid w:val="00CD328A"/>
    <w:rsid w:val="00CF2F03"/>
    <w:rsid w:val="00CF54DB"/>
    <w:rsid w:val="00D222CB"/>
    <w:rsid w:val="00D32260"/>
    <w:rsid w:val="00D47A1A"/>
    <w:rsid w:val="00D60830"/>
    <w:rsid w:val="00D61D55"/>
    <w:rsid w:val="00D64299"/>
    <w:rsid w:val="00D7207E"/>
    <w:rsid w:val="00D838E5"/>
    <w:rsid w:val="00D9762A"/>
    <w:rsid w:val="00DA027F"/>
    <w:rsid w:val="00DC14EA"/>
    <w:rsid w:val="00DE4DD0"/>
    <w:rsid w:val="00EA0935"/>
    <w:rsid w:val="00EB4CF2"/>
    <w:rsid w:val="00EC4A19"/>
    <w:rsid w:val="00ED11AA"/>
    <w:rsid w:val="00EE50C8"/>
    <w:rsid w:val="00EE6FD0"/>
    <w:rsid w:val="00F02DBF"/>
    <w:rsid w:val="00F04237"/>
    <w:rsid w:val="00F10B13"/>
    <w:rsid w:val="00F1754A"/>
    <w:rsid w:val="00F307A2"/>
    <w:rsid w:val="00F4413A"/>
    <w:rsid w:val="00F57997"/>
    <w:rsid w:val="00F712B1"/>
    <w:rsid w:val="00F82860"/>
    <w:rsid w:val="00F86244"/>
    <w:rsid w:val="00FC4697"/>
    <w:rsid w:val="00FC5638"/>
    <w:rsid w:val="00FD3C76"/>
    <w:rsid w:val="00FD5353"/>
    <w:rsid w:val="00FE136B"/>
    <w:rsid w:val="00FE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36C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781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96D2F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B55F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15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5EFB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semiHidden/>
    <w:unhideWhenUsed/>
    <w:rsid w:val="00AF1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F16D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AF1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F16D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762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Mobiom 5</dc:creator>
  <cp:lastModifiedBy>marc traore</cp:lastModifiedBy>
  <cp:revision>40</cp:revision>
  <dcterms:created xsi:type="dcterms:W3CDTF">2015-02-13T11:28:00Z</dcterms:created>
  <dcterms:modified xsi:type="dcterms:W3CDTF">2015-02-27T10:05:00Z</dcterms:modified>
</cp:coreProperties>
</file>